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28"/>
        </w:rPr>
        <w:t>“校训中的南航精神”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28"/>
        </w:rPr>
        <w:t>文化系列艺术作品联展</w:t>
      </w:r>
    </w:p>
    <w:p>
      <w:pPr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/>
        </w:rPr>
      </w:pPr>
      <w:r>
        <w:rPr>
          <w:rFonts w:hint="eastAsia" w:ascii="华文中宋" w:hAnsi="华文中宋" w:eastAsia="华文中宋"/>
          <w:b/>
          <w:bCs/>
          <w:sz w:val="36"/>
          <w:szCs w:val="28"/>
          <w:lang w:val="en-US" w:eastAsia="zh-CN"/>
        </w:rPr>
        <w:t>征稿启事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为深入贯彻落实习近平新时代中国特色社会主义思想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学习贯彻党的十九大和校十六次党代会精神，强化文化自信，突出文化引领，在“双一流”建设的进程中，结合艺术学院专业特色，进一步繁荣校园文化，厚植爱国、爱校情怀，激发广大师生“爱南航、爱艺术、爱生活、爱事业”的情怀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艺术学院决定组织开展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“校训中的南航精神”文化系列艺术作品联展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一、主办单位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南京航空航天大学艺术学院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Microsoft YaHei UI" w:hAnsi="Microsoft YaHei UI" w:eastAsia="Microsoft YaHei UI" w:cs="Microsoft YaHei UI"/>
          <w:b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二、征</w:t>
      </w:r>
      <w:r>
        <w:rPr>
          <w:rFonts w:hint="eastAsia" w:ascii="Microsoft YaHei UI" w:hAnsi="Microsoft YaHei UI" w:eastAsia="Microsoft YaHei UI" w:cs="Microsoft YaHei UI"/>
          <w:b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稿范围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由南京航空航天大学师生、校友围绕校训“智周万物，道济天下”主题创作并完成的各类能够体现南航精神的相关文艺作品，创作形式包括水彩、水粉、油画、速写、国画、陶瓷、书法、设计、摄影、摄像、纪录片、音乐、舞蹈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三、征稿要求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申报作品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可独立完成，也可与他人合作完成，每名申报者申报作品不超过两件。申报作品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需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主题鲜明，内容健康、积极向上，要突出思想性、艺术性和观赏性，做到富有感染力、充满正能量。作品原则上须含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南航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元素，最好能反映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南航师生在新时代背景下展现出的南航精神等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方面的内容。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四、稿件规格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美术、书法投寄作品原件，无需装裱。美术作品单幅作品最长边不能超过2米；书法要求竖式作品，尺寸为六尺整张以内；摄影作品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和设计作品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报送电子稿，要求为JPG格式，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并提供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原始数据文件（原始数据电子文件或一次拍摄完成的负片或反转片）；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音乐和舞蹈作品以视频形式呈现，所有视频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作品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需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报送光盘（或U盘）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其他类型作品无特殊规格要求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eastAsia="Microsoft YaHei UI"/>
          <w:lang w:eastAsia="zh-CN"/>
        </w:rPr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五、</w:t>
      </w: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作品评审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根据作品申报情况，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</w:rPr>
        <w:t>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  <w:lang w:val="en-US" w:eastAsia="zh-CN"/>
        </w:rPr>
        <w:t>艺术学院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</w:rPr>
        <w:t>组织相关专家组成评委会，制定评审细则、评审工作流程和评委守则，完成初评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  <w:lang w:val="en-US" w:eastAsia="zh-CN"/>
        </w:rPr>
        <w:t>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</w:rPr>
        <w:t>复评工作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15"/>
          <w:sz w:val="25"/>
          <w:szCs w:val="25"/>
          <w:shd w:val="clear" w:fill="FFFFFF"/>
        </w:rPr>
        <w:t>确保公开、公平、公正评审。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评审出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优秀作品将适时进行网上展出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并结集成册。优秀书画作品还将参加校训主题艺术作品联展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举办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作品捐赠仪式，并向优秀作品作者颁发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南京航空航天大学的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</w:rPr>
        <w:t>收藏证书。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六、征稿日期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自本启事发布之日起至2020年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日截止。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shd w:val="clear" w:fill="FFFFFF"/>
        </w:rPr>
        <w:t>七、投稿地址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邮编：21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1106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地址：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南京航空航天大学将军路校区艺术学院一楼砚湖书院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default" w:eastAsia="Microsoft YaHei UI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邮箱：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497051261@qq.com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联系人：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郭洪豹、王剑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default" w:eastAsia="Microsoft YaHei UI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联系电话：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025—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52119779   15195972756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spacing w:before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附：作品征集信息表</w:t>
      </w: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“校训中的南航精神”文化系列艺术作品联展</w:t>
      </w: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作品征集信息表</w:t>
      </w:r>
    </w:p>
    <w:p>
      <w:pPr>
        <w:spacing w:beforeLines="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作品编号：</w:t>
      </w:r>
    </w:p>
    <w:p>
      <w:pPr>
        <w:spacing w:beforeLines="50"/>
        <w:rPr>
          <w:rFonts w:hint="eastAsia" w:asciiTheme="minorEastAsia" w:hAnsiTheme="minorEastAsia"/>
          <w:b/>
          <w:sz w:val="24"/>
          <w:szCs w:val="2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41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作品名称</w:t>
            </w:r>
          </w:p>
        </w:tc>
        <w:tc>
          <w:tcPr>
            <w:tcW w:w="198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作品类别</w:t>
            </w:r>
          </w:p>
        </w:tc>
        <w:tc>
          <w:tcPr>
            <w:tcW w:w="382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作者姓名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(如合作请用顿号隔开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详细地址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邮政编码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联系电话（手机）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3827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5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作品完成时间</w:t>
            </w:r>
          </w:p>
          <w:p>
            <w:pPr>
              <w:spacing w:line="340" w:lineRule="exact"/>
              <w:ind w:firstLine="225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（具体年月）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作品尺寸</w:t>
            </w:r>
          </w:p>
        </w:tc>
        <w:tc>
          <w:tcPr>
            <w:tcW w:w="3827" w:type="dxa"/>
            <w:tcBorders>
              <w:lef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95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作品</w:t>
            </w:r>
            <w:r>
              <w:rPr>
                <w:rFonts w:hint="eastAsia" w:asciiTheme="minorEastAsia" w:hAnsiTheme="minorEastAsia"/>
              </w:rPr>
              <w:t>说明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（200字内）</w:t>
            </w:r>
          </w:p>
        </w:tc>
        <w:tc>
          <w:tcPr>
            <w:tcW w:w="7229" w:type="dxa"/>
            <w:gridSpan w:val="3"/>
          </w:tcPr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/>
          <w:b/>
        </w:rPr>
        <w:t>注：作品编号由评委会填写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5EC0"/>
    <w:rsid w:val="0A7F7DB3"/>
    <w:rsid w:val="34F66480"/>
    <w:rsid w:val="443610B4"/>
    <w:rsid w:val="45AE0211"/>
    <w:rsid w:val="471071AF"/>
    <w:rsid w:val="6547193A"/>
    <w:rsid w:val="69B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rPr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2020-08-10T02:23:00Z</dcterms:created>
  <dc:creator>win10</dc:creator>
  <cp:lastModifiedBy>孙吟吟</cp:lastModifiedBy>
  <dcterms:modified xsi:type="dcterms:W3CDTF">2020-08-12T10:17:33Z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